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Veřejnoprávní smlouva o poskytnutí dotace z rozpočtu města Vizovice</w:t>
      </w: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uzavřená mezi níže uvedenými smluvními stranami ve smyslu ustanovení §159 zákona č. 500/2004, správní řád, ve znění pozdějších předpisů, §</w:t>
      </w:r>
      <w:proofErr w:type="gramStart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10a</w:t>
      </w:r>
      <w:proofErr w:type="gramEnd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zákona č. 250/2000 Sb., o rozpočtových pravidlech územních rozpočtů, ve znění pozdějších předpisů a v souladu se zákonem č. 128/2000 Sb. o obcích, ve znění pozdějších předpisů</w:t>
      </w: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117E63" w:rsidRDefault="00117E63" w:rsidP="00117E63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117E6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Smluvní strany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Město Vizovice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se sídlem ve Vizovicích,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Masarykovo nám. 1007, PSČ 763 12 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zastoupené starostkou Bc. Silvií Dolanskou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IČ 00284653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bankovní spojení: ČS, a.s., </w:t>
      </w:r>
      <w:proofErr w:type="spell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pob</w:t>
      </w:r>
      <w:proofErr w:type="spell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 Vizovice, č. účtu 27-1406726359/0800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(dále je „poskytovatel“)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a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……………………….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se sídlem …………………………….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pobočkou na adrese ………………………….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zastoupený statutárním zástupcem …………………………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gram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IČ:  …</w:t>
      </w:r>
      <w:proofErr w:type="gram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………………………..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Právní forma příjemce: ……………</w:t>
      </w:r>
      <w:proofErr w:type="gram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…….</w:t>
      </w:r>
      <w:proofErr w:type="gram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bankovní spojení: </w:t>
      </w:r>
      <w:proofErr w:type="spell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č.ú</w:t>
      </w:r>
      <w:proofErr w:type="spell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proofErr w:type="gram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:…</w:t>
      </w:r>
      <w:proofErr w:type="gram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………………, bankovní ústav: ……………………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(dále jen „příjemce“)</w:t>
      </w: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II.</w:t>
      </w: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Předmět smlouvy</w:t>
      </w: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2.1 Předmětem této smlouvy je poskytnutí účelové finanční podpory z rozpočtu poskytovatele formou dotace (dále </w:t>
      </w:r>
      <w:proofErr w:type="gramStart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jen ,,dotace</w:t>
      </w:r>
      <w:proofErr w:type="gramEnd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“).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:rsid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2.2 V souladu s výše uvedenými zákony, Směrnicí č. 1/2015 o poskytování finanční podpory                                                                                   z rozpočtu města Vizovice a s vyhlášeným dotačním programem pro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poskytovatel poskytne příjemci za podmínek uvedených v čl. III. až VI. této smlouvy dotaci z rozpočtu města Vizovice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 výši …………</w:t>
      </w:r>
      <w:proofErr w:type="gramStart"/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…….</w:t>
      </w:r>
      <w:proofErr w:type="gramEnd"/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(slovy: ……………. korun českých)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na výdaje spojené s činností organizace s dětmi mládeží v roce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5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</w:t>
      </w:r>
    </w:p>
    <w:p w:rsid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III.</w:t>
      </w:r>
    </w:p>
    <w:p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Splatnost peněžních prostředků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ind w:left="360" w:hanging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3.1 Poskytovatel se zavazuje poskytnout příjemci dotaci ve schválené výši za účelem uvedeným v článku II. na účet příjemce uvedený v záhlaví této smlouvy do 30 dnů po nabytí účinnosti této smlouvy případně hotově na pokladně </w:t>
      </w:r>
      <w:proofErr w:type="spell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MěÚ</w:t>
      </w:r>
      <w:proofErr w:type="spell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jednorázovou splátkou.</w:t>
      </w:r>
    </w:p>
    <w:p w:rsidR="00370390" w:rsidRPr="00370390" w:rsidRDefault="00370390" w:rsidP="00370390">
      <w:pPr>
        <w:spacing w:after="0" w:line="240" w:lineRule="auto"/>
        <w:ind w:left="360" w:hanging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3.2 Poskytnuté finanční prostředky lze použít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 financování výdajů realizovaných v období od       01.01.2025 do 31.12.2025.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Finanční prostředky nelze převádět do následujícího kalendářního roku.</w:t>
      </w:r>
    </w:p>
    <w:p w:rsidR="00370390" w:rsidRPr="00370390" w:rsidRDefault="00370390" w:rsidP="00370390">
      <w:pPr>
        <w:spacing w:after="0" w:line="240" w:lineRule="auto"/>
        <w:ind w:left="360" w:hanging="360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3.3 V termínu </w:t>
      </w: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do 31.12.2025</w:t>
      </w: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vrátí příjemce nevyčerpané finanční prostředky na účet města Vizovice – </w:t>
      </w:r>
      <w:proofErr w:type="spellStart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č.ú</w:t>
      </w:r>
      <w:proofErr w:type="spellEnd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.: 27-1406726359/0800. Neučiní-li tak, jedná se o porušení rozpočtové kázně dle § 22 zákona č. 250/2000 Sb., o rozpočtových pravidlech územních rozpočtů, ve znění pozdějších předpisů.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                                                                      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IV.</w:t>
      </w:r>
    </w:p>
    <w:p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Podmínky přidělení peněžních prostředků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Příjemce je povinen použít dotaci maximálně hospodárným způsobem a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výhradně k účelu uvedenému v čl. II. této smlouvy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dotace nesmí přidělené finanční prostředky poskytnout jiným právnickým či fyzickým osobám, pokud se nejedná o úhradu činností spojených s realizací činností či aktivit dle článku II. smlouvy.</w:t>
      </w:r>
    </w:p>
    <w:p w:rsidR="00370390" w:rsidRPr="00EE454E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Finanční vypořádání (vyúčtování) dotace předloží příjemce do 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30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.01.202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6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finančnímu odboru Městského úřadu Vizovice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na předepsaném formuláři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Vyúčtování musí být doručeno poštou na adresu Města Vizovice, finanční odbor, Masarykovo nám. 1007, 763 12 Vizovice, osobně na adresu podatelny </w:t>
      </w:r>
      <w:proofErr w:type="spell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MěÚ</w:t>
      </w:r>
      <w:proofErr w:type="spell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, Masarykovo nám. 1007, Vizovice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, nebo datovou zprávou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Finančním vypořádáním (vyúčtováním) dotace se rozumí doložení přehledu o čerpání a použití poskytnutých peněžních prostředků a o jejich případném vrácení do rozpočtu poskytovatele. Doklady předložené v rámci vypořádání musí prokazovat uhrazení nákladů (výdajů), které vznikly v souvislosti s jejich schváleným použitím, přičemž musí být uskutečněny v období dle čl. III. odst. 3.2.  Z poskytnuté dotace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nelze hradit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penále, pokuty či obdobné sankce, úroky z úvěrů či půjček, odpisy majetku, nákup nemovitostí a pozemků, dotace poskytnuté jiným fyzickým nebo právnickým osobám, poplatky za telefonní služby, mzdy a platy zaměstnanců včetně odměn za práci o pracích konaných mimo pracovní poměr, </w:t>
      </w:r>
      <w:r w:rsidR="007833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úroky z úvěrů či půjček, odpisy majetku, nákup nemovitostí a pozemků, alkoholické nápoje a návykové látky,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občerstvení a pohoštění,</w:t>
      </w:r>
      <w:r w:rsidR="007833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úhradu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peněžních a věcných darů, s výjimkou cen v soutěžích, které jsou součástí pořádaných aktivit, úhradu daní odváděných státnímu rozpočtu</w:t>
      </w:r>
      <w:r w:rsidR="007833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úhradu uměleckých děl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Podmínkou čerpání dotace je dále to, že finanční prostředky poskytnuté dle této smlouvy budou použity pouze na uhrazení těch nákladů (výdajů), na které příjemce nečerpal současně finanční prostředky z jiných zdrojů, tzn., že doklady použité v rámci finančního vypořádání s městem Vizovice, nebudou použity k profinancování z jiných zdrojů. Veškeré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doklady,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které budou přiloženy k vyúčtování dotace, musí být na originále viditelně </w:t>
      </w:r>
      <w:bookmarkStart w:id="0" w:name="_GoBack"/>
      <w:r w:rsidRPr="00EE454E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označeny nápisem „Dotace města Vizovice“. </w:t>
      </w: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>Za předání vyúčtování dotace je považováno jeho podání v listinné podobě</w:t>
      </w:r>
      <w:r w:rsidR="00783328"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nebo datovou zprávou</w:t>
      </w:r>
      <w:r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formuláři předepsaném Městem Vizovice, podepsané statutárním zástupcem příjemce</w:t>
      </w:r>
      <w:r w:rsidR="000422E3"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(v případě listinného podání)</w:t>
      </w:r>
      <w:r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Za </w:t>
      </w:r>
      <w:bookmarkEnd w:id="0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den předání vyúčtování dotace se považuje i den, kdy bylo vyúčtování dotace předáno poskytovateli poštovních služeb nebo na podatelnu poskytovatele. Za pravdivost a správnost vyúčtování dotace odpovídá osoba oprávněná jednat jménem příjemce dotace.</w:t>
      </w: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 xml:space="preserve">Pokud příjemce nebude schopen dodržet konečný termín pro vyúčtování, tj. do </w:t>
      </w:r>
      <w:r w:rsidR="00783328">
        <w:rPr>
          <w:rFonts w:ascii="Calibri" w:eastAsia="Times New Roman" w:hAnsi="Calibri" w:cs="Calibri"/>
          <w:kern w:val="0"/>
          <w:lang w:eastAsia="cs-CZ"/>
          <w14:ligatures w14:val="none"/>
        </w:rPr>
        <w:t>30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.01.202</w:t>
      </w:r>
      <w:r w:rsidR="00783328"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, musí nejpozději do tohoto termínu písemně požádat Radu města Vizovice o jeho prodloužení a o této skutečnosti informovat finanční odbor Městského úřadu Vizovice.</w:t>
      </w: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Příjemce je povinen uchovávat veškeré průkazné účetní záznamy o použití dotace v souladu s ustanovením § 31 zákona č. 563/1991 Sb., o účetnictví ve znění pozdějších předpisů. </w:t>
      </w: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Město Vizovice prostřednictvím svého určeného zástupce může u příjemce příspěvku vykonat kontrolu vyplývající ze zákona č. 320/2001 Sb., o finanční kontrole ve veřejné správě, ve znění pozdějších předpisů a příjemce se zavazuje při takového kontrole poskytnout maximální možnou součinnost. Příjemce je při této kontrole povinen předložit všechny prvotní účetní doklady za účelem prověření předloženého finančního vypořádání dotace.</w:t>
      </w: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bude při čerpání dotace postupovat v souladu s příslušnými obecně závaznými právními předpisy, s podmínkami stanovenými v této smlouvě a v souladu se Směrnicí 1/2015 o poskytování finanční podpory z rozpočtu města Vizovice.</w:t>
      </w:r>
    </w:p>
    <w:p w:rsidR="00370390" w:rsidRPr="00370390" w:rsidRDefault="00370390" w:rsidP="00783328">
      <w:pPr>
        <w:numPr>
          <w:ilvl w:val="1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Vrácení prostředků podle čl. III. odstavce 3.3 nezakládá právo příjemce na dočerpání finančních prostředků v následujícím roce.</w:t>
      </w:r>
    </w:p>
    <w:p w:rsidR="00370390" w:rsidRPr="00370390" w:rsidRDefault="00370390" w:rsidP="00783328">
      <w:pPr>
        <w:numPr>
          <w:ilvl w:val="1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dotace odpovídá za hospodárné, účelné a efektivní využití poskytnutých finančních prostředků.</w:t>
      </w: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dotace se zavazuje informovat vhodnou cestou veřejnost o skutečnosti, že je podporám ze strany města Vizovice. Tuto skutečnost pak prokazuje v rámci předloženého finančního vypořádání dotace, kdy může doložit např. fotodokumentaci z pořádaných akcí, ze kterých bude zřejmé, že k publicitě došlo, dále např. umístěním odkazu o podpoře města na svých webových stránkách, v publikovaných článcích apod.</w:t>
      </w:r>
    </w:p>
    <w:p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Změny účelu a charakteru dotace vyžadují změnu smlouvy. Příjemce je povinen oznámit požadované změny neprodleně a před jejich započetím poskytovateli dotace. Případné změny je oprávněn uskutečnit pouze s předchozím písemným souhlasem poskytovatele – uzavření dodatku k této smlouvě.</w:t>
      </w:r>
    </w:p>
    <w:p w:rsidR="00370390" w:rsidRPr="00370390" w:rsidRDefault="00370390" w:rsidP="00370390">
      <w:pPr>
        <w:tabs>
          <w:tab w:val="left" w:pos="3900"/>
        </w:tabs>
        <w:spacing w:after="0" w:line="240" w:lineRule="auto"/>
        <w:ind w:left="360" w:hanging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V.</w:t>
      </w:r>
    </w:p>
    <w:p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Odstoupení od smlouvy, ukončení smlouvy</w:t>
      </w:r>
    </w:p>
    <w:p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Příjemce je oprávněn tuto smlouvu kdykoliv písemně vypovědět, přičemž výpověď je účinná dnem jejího doručení poskytovateli. V takovém případě je příjemce povinen vrátit celou výši finanční dotace poskytovateli do 14 dnů ode dne účinnosti výpovědi na účet uvedený v záhlaví smlouvy. </w:t>
      </w:r>
    </w:p>
    <w:p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Poskytovatel má právo odstoupit od smlouvy v případě, že ze strany příjemce došlo k porušení této smlouvy, pravidel dotačního programu, došlo u něj ke vstupu do likvidace, bylo u něj zahájeno insolvenční řízení či u něj došlo porušení právních předpisů, díky nimž došlo k porušení rozpočtové kázně ve smyslu ustanovení § 22 zákona číslo 250/2000 Sb. Za porušení rozpočtové kázně se považuje rovněž uvedení jakýchkoli nepravdivých informací, údajů či prohlášení ze strany příjemce souvisejících s uzavřením této smlouvy. Odstoupení od smlouvy je účinné dnem jeho doručení příjemci.</w:t>
      </w:r>
    </w:p>
    <w:p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Pokud dojde k odstoupení od smlouvy, smlouva se ruší od počátku a smluvní strany jsou povinny navzájem si vrátit plnění poskytnutá ze smlouvy ve lhůtě 14 dnů ode dne účinnosti odstoupení od smlouvy.</w:t>
      </w:r>
    </w:p>
    <w:p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Případné porušení jakýchkoliv povinností stanovených touto smlouvou je poskytovatel oprávněn zohlednit v případě opětovného podání žádosti příjemce o dotaci v následujícím roce.</w:t>
      </w:r>
    </w:p>
    <w:p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Smlouva zaniká také z důvodů uvedených § 167 odst. 1 písm. b) až e) zákona č. 500/2004 Sb., správní řád, ve znění pozdějších předpisů. Návrh na zrušení smlouvy musí být učiněn písemně a musí v něm být uvedeny důvody, které vedou k zániku smlouvy.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:rsidR="00370390" w:rsidRPr="00370390" w:rsidRDefault="00370390" w:rsidP="00117E6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lastRenderedPageBreak/>
        <w:t>VI.</w:t>
      </w:r>
    </w:p>
    <w:p w:rsidR="00370390" w:rsidRDefault="00370390" w:rsidP="00117E6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Smluvní sankce</w:t>
      </w:r>
    </w:p>
    <w:p w:rsidR="009A2B32" w:rsidRPr="00370390" w:rsidRDefault="009A2B32" w:rsidP="00117E6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9A2B32" w:rsidRPr="009A2B32" w:rsidRDefault="009A2B32" w:rsidP="009A2B32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vanish/>
          <w:lang w:eastAsia="cs-CZ"/>
        </w:rPr>
      </w:pPr>
    </w:p>
    <w:p w:rsidR="00370390" w:rsidRPr="009A2B32" w:rsidRDefault="00370390" w:rsidP="009A2B32">
      <w:pPr>
        <w:numPr>
          <w:ilvl w:val="1"/>
          <w:numId w:val="3"/>
        </w:numPr>
        <w:spacing w:after="0" w:line="240" w:lineRule="auto"/>
        <w:rPr>
          <w:lang w:eastAsia="cs-CZ"/>
        </w:rPr>
      </w:pPr>
      <w:r w:rsidRPr="009A2B32">
        <w:rPr>
          <w:lang w:eastAsia="cs-CZ"/>
        </w:rPr>
        <w:t>V případě, že se příjemce dopustí porušení rozpočtové kázně ve smyslu ustanovení § 22</w:t>
      </w:r>
    </w:p>
    <w:p w:rsidR="00370390" w:rsidRDefault="00370390" w:rsidP="009A2B32">
      <w:pPr>
        <w:spacing w:after="0" w:line="240" w:lineRule="auto"/>
        <w:ind w:left="357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zákona číslo 250/2000 Sb., o rozpočtových pravidlech územních rozpočtů ve znění pozdějších předpisů, </w:t>
      </w: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je povinen provést poskytovateli odvod, který odpovídá částce neoprávněných použitých nebo zadržených prostředků včetně penále v souladu s ustanovením § 22 zákona číslo 250/2000 Sb., a to nejpozději do 15 dnů od zjištění porušení rozpočtové kázně dle pokynů poskytovatele</w:t>
      </w:r>
    </w:p>
    <w:p w:rsidR="009A2B32" w:rsidRPr="00370390" w:rsidRDefault="009A2B32" w:rsidP="00117E63">
      <w:pPr>
        <w:spacing w:after="0" w:line="240" w:lineRule="auto"/>
        <w:ind w:left="360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ind w:firstLine="360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Výše odvodů za porušení rozpočtové kázně je stanovena takto:</w:t>
      </w:r>
    </w:p>
    <w:p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Použití dotačních finančních prostředků v rozporu s účelem, který je stanoven touto smlouvou nebo dotačním programe</w:t>
      </w:r>
      <w:r w:rsidR="00117E6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</w:t>
      </w: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odvod ve výši 100 % z dotace,</w:t>
      </w:r>
    </w:p>
    <w:p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Neumožnění provedení kontroly podle článku 4.7 této smlouvy – odvod ve výši 100 % z dotace,</w:t>
      </w:r>
    </w:p>
    <w:p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Nepředání závěrečného vyúčtování v termínu dle článku IV, odst. 4.3, 4.4 případně náhradního termínu dle odst. 4. 5 této smlouvy – odvod ve výši 100 % dotace při překročení termínu o více jak 30 pracovních dnů, 50 % z dotace při překročení termínu o 15-30 pracovních dnů, 10 % z dotace při překročení termínu v rozmezí    1-15 pracovních dnů</w:t>
      </w:r>
    </w:p>
    <w:p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Nevrácení nevyčerpaných prostředků dle čl. III odst. 3.3 této smlouvy odvod ve výši nevyčerpaných prostředků</w:t>
      </w:r>
    </w:p>
    <w:p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Uvedení nesprávných údajů v žádosti o dotaci či ve vyúčtování dotace – odvod ve výši    5–50 % z dotace dle závažnosti uvedených údajů</w:t>
      </w:r>
    </w:p>
    <w:p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Porušení článku IV. odst. 4.12 této smlouvy – odvod ve výši 70 % dotace.</w:t>
      </w:r>
    </w:p>
    <w:p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Porušení článku IV odst. 4.11 této smlouvy – odvod ve výši 30 % z dotace</w:t>
      </w:r>
    </w:p>
    <w:p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Porušení článku VI. odst. 6.2 této smlouvy – odvod ve výši 5-50 % z dotace dle závažnosti uvedených údajů</w:t>
      </w:r>
    </w:p>
    <w:p w:rsidR="00370390" w:rsidRPr="00370390" w:rsidRDefault="00370390" w:rsidP="00370390">
      <w:pPr>
        <w:spacing w:after="0" w:line="240" w:lineRule="auto"/>
        <w:ind w:left="1080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Za prodlení s odvodem za porušení rozpočtové kázně je příjemce, který rozpočtovou kázeň porušil, povinen zaplatit penále ve výši 1 promile z částky odvodu za každý den prodlení, nejvýše však do výše tohoto odvodu. Penále se počítá ode dne následujícího po dni, kdy došlo k porušení rozpočtové kázně, do dne, kdy byly prostředky odvedeny (vráceny). Penále, které v jednotlivých případech nepřesáhne 1000,- Kč, se neuloží.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ind w:left="708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:rsidR="00370390" w:rsidRPr="00370390" w:rsidRDefault="00370390" w:rsidP="00783328">
      <w:pPr>
        <w:spacing w:after="0" w:line="240" w:lineRule="auto"/>
        <w:ind w:left="708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VI</w:t>
      </w:r>
      <w:r w:rsidR="00117E6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I</w:t>
      </w: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</w:t>
      </w:r>
    </w:p>
    <w:p w:rsidR="00370390" w:rsidRPr="00370390" w:rsidRDefault="00370390" w:rsidP="00783328">
      <w:pPr>
        <w:keepNext/>
        <w:spacing w:after="0" w:line="240" w:lineRule="auto"/>
        <w:ind w:left="708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Závěrečná ustanovení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br/>
      </w:r>
    </w:p>
    <w:p w:rsidR="009A2B32" w:rsidRPr="009A2B32" w:rsidRDefault="009A2B32" w:rsidP="009A2B32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kern w:val="0"/>
          <w:lang w:eastAsia="cs-CZ"/>
          <w14:ligatures w14:val="none"/>
        </w:rPr>
      </w:pPr>
    </w:p>
    <w:p w:rsidR="009A2B32" w:rsidRPr="009A2B32" w:rsidRDefault="009A2B32" w:rsidP="009A2B32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kern w:val="0"/>
          <w:lang w:eastAsia="cs-CZ"/>
          <w14:ligatures w14:val="none"/>
        </w:rPr>
      </w:pPr>
    </w:p>
    <w:p w:rsidR="00370390" w:rsidRPr="00370390" w:rsidRDefault="00370390" w:rsidP="009A2B32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Tato smlouva nabývá platnosti a účinnosti dnem jejího podpisu oprávněnými zástupci obou smluvních stran. </w:t>
      </w:r>
    </w:p>
    <w:p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U smluv nad 50 000 Kč bude uvedeno:</w:t>
      </w:r>
    </w:p>
    <w:p w:rsidR="00370390" w:rsidRPr="00370390" w:rsidRDefault="00370390" w:rsidP="00370390">
      <w:pPr>
        <w:spacing w:after="200" w:line="240" w:lineRule="auto"/>
        <w:ind w:left="360"/>
        <w:contextualSpacing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Tato smlouva nahýbá platnosti dnem jejího podpisu oprávněnými zástupci obou smluvních stran. Smlouva nabude účinnosti dnem zveřejnění v registru smluv ve smyslu zákona číslo 340/2015 Sb., o registru smluv. </w:t>
      </w:r>
    </w:p>
    <w:p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dotace se zavazuje oznámit poskytovateli změnu adresy sídla, statutá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>r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ního orgánu, změnu názvu, bankovního spojení, doručovací adresy a dalších identifikačních údajů uvedených ve smlouvě, dojde-li k nim v době platnosti a účinnosti této smlouvy, a to do 30 dnů ode dne, kdy změna skutečnosti nastala. Příjemce je rovněž povinen oznámit poskytovateli zahájení insolventního řízení, vstup do likvidace, informaci o přeměně společnosti apod. a to do 30 dnů od rozhodnutí příslušného orgánu o výše uvedených skutečnostech.</w:t>
      </w:r>
    </w:p>
    <w:p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 xml:space="preserve">Právní vztahy, které nejsou přímo upraveny touto smlouvou, se řídí příslušnými ustanoveními zákona č. </w:t>
      </w:r>
      <w:r w:rsidRPr="00370390">
        <w:rPr>
          <w:rFonts w:ascii="Calibri" w:eastAsia="Times New Roman" w:hAnsi="Calibri" w:cs="Calibri"/>
          <w:snapToGrid w:val="0"/>
          <w:kern w:val="0"/>
          <w:lang w:eastAsia="cs-CZ"/>
          <w14:ligatures w14:val="none"/>
        </w:rPr>
        <w:t>89/2012 Sb. občanského zákoníku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, ve znění pozdějších předpisů, zákona č. 250/2000 Sb., o rozpočtových pravidlech územních rozpočtů, ve znění pozdějších předpisů a dalšími obecně závaznými předpisy.</w:t>
      </w:r>
    </w:p>
    <w:p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Smlouva může být měněna či doplňována pouze písemnými vzestupně číslovanými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dodatky podepsanými oprávněnými zástupci obou smluvních stran.</w:t>
      </w:r>
    </w:p>
    <w:p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Smlouva je vyhotovena ve třech stejnopisech, z nichž poskytovatel příspěvku obdrží dvě vyhotovení a příjemce příspěvku obdrží jedno vyhotovení.</w:t>
      </w:r>
    </w:p>
    <w:p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Smluvní strany svými podpisy stvrzují, že smlouva byla sjednána na základě jejich pravé svobodné vůle, nikoli v tísni, pod nátlakem či za jiných jednostranně nevýhodných podmínek.</w:t>
      </w:r>
    </w:p>
    <w:p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Spory z právních poměrů při poskytnutí této dotace rozhoduje v přenesené působnosti Krajský úřad Zlínského kraje </w:t>
      </w:r>
    </w:p>
    <w:p w:rsidR="00370390" w:rsidRPr="00370390" w:rsidRDefault="00370390" w:rsidP="00370390">
      <w:pPr>
        <w:numPr>
          <w:ilvl w:val="1"/>
          <w:numId w:val="4"/>
        </w:numPr>
        <w:spacing w:after="12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Vzhledem k veřejnoprávnímu charakteru poskytovatele příjemce výslovně prohlašuje, že je s touto skutečností obeznámen a souhlasí se zpracováním jeho údajů poskytovatelem s ohledem na zákon 106/1999 Sb., o svobodném přístupu k informacím, ve znění pozdějších předpisů, a rovněž se zveřejněním smluvních podmínek obsažených v této smlouvě.</w:t>
      </w:r>
    </w:p>
    <w:p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U smluv nad 50 000 Kč bude dále doplněno:</w:t>
      </w:r>
    </w:p>
    <w:p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„Tato smlouva bude v souladu se zákonem č. 250/2000 Sb. zveřejněna po dobu minimálně 3 let na úřední desce města umožňující dálkový přístup“</w:t>
      </w:r>
    </w:p>
    <w:p w:rsidR="00370390" w:rsidRPr="00370390" w:rsidRDefault="00370390" w:rsidP="00370390">
      <w:pPr>
        <w:spacing w:after="200" w:line="240" w:lineRule="auto"/>
        <w:ind w:left="360"/>
        <w:contextualSpacing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„Obě smluvní strany berou na vědomí, že tato smlouva bude zveřejněna v registru smluv v souladu se zákonem číslo 340/2015 Sb., o registru smluv“ </w:t>
      </w:r>
    </w:p>
    <w:p w:rsidR="00370390" w:rsidRPr="00370390" w:rsidRDefault="00370390" w:rsidP="00370390">
      <w:pPr>
        <w:spacing w:after="200" w:line="240" w:lineRule="auto"/>
        <w:ind w:left="360"/>
        <w:contextualSpacing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„Tuto smlouvu zveřejní v registru smluv Město Vizovice.“</w:t>
      </w:r>
    </w:p>
    <w:p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70390" w:rsidRPr="00370390" w:rsidTr="00473DF2">
        <w:tc>
          <w:tcPr>
            <w:tcW w:w="5000" w:type="pct"/>
          </w:tcPr>
          <w:p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cs-CZ"/>
                <w14:ligatures w14:val="none"/>
              </w:rPr>
            </w:pPr>
          </w:p>
          <w:p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cs-CZ"/>
                <w14:ligatures w14:val="none"/>
              </w:rPr>
            </w:pPr>
            <w:r w:rsidRPr="00370390">
              <w:rPr>
                <w:rFonts w:ascii="Calibri" w:eastAsia="Times New Roman" w:hAnsi="Calibri" w:cs="Calibri"/>
                <w:b/>
                <w:kern w:val="0"/>
                <w:lang w:eastAsia="cs-CZ"/>
                <w14:ligatures w14:val="none"/>
              </w:rPr>
              <w:t>Doložka dle § 41 zákona č. 128/2000 Sb., o obcích, ve znění pozdějších předpisů</w:t>
            </w:r>
          </w:p>
          <w:p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  <w:p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Rozhodnuto orgánem obce: ……………</w:t>
            </w:r>
            <w:proofErr w:type="gramStart"/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…….</w:t>
            </w:r>
            <w:proofErr w:type="gramEnd"/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</w:t>
            </w:r>
          </w:p>
          <w:p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Datum a číslo usnesení: usnesení č. …………….  ze dne</w:t>
            </w:r>
            <w:r w:rsidR="009A2B3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: </w:t>
            </w:r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………………. </w:t>
            </w:r>
          </w:p>
          <w:p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</w:tbl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Ve Vizovicích dne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: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………………….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Ve Vizovicích dne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: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………………………  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za poskytovatele: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za příjemce: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…………………………………………                             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……………………………………………….</w:t>
      </w:r>
    </w:p>
    <w:p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       starost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>k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a města</w:t>
      </w:r>
    </w:p>
    <w:p w:rsidR="00FC089C" w:rsidRPr="00370390" w:rsidRDefault="00FC089C" w:rsidP="00370390"/>
    <w:sectPr w:rsidR="00FC089C" w:rsidRPr="00370390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40B" w:rsidRDefault="00E1640B" w:rsidP="00495038">
      <w:pPr>
        <w:spacing w:after="0" w:line="240" w:lineRule="auto"/>
      </w:pPr>
      <w:r>
        <w:separator/>
      </w:r>
    </w:p>
    <w:p w:rsidR="00E1640B" w:rsidRDefault="00E1640B"/>
  </w:endnote>
  <w:endnote w:type="continuationSeparator" w:id="0">
    <w:p w:rsidR="00E1640B" w:rsidRDefault="00E1640B" w:rsidP="00495038">
      <w:pPr>
        <w:spacing w:after="0" w:line="240" w:lineRule="auto"/>
      </w:pPr>
      <w:r>
        <w:continuationSeparator/>
      </w:r>
    </w:p>
    <w:p w:rsidR="00E1640B" w:rsidRDefault="00E1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E1640B">
            <w:fldChar w:fldCharType="begin"/>
          </w:r>
          <w:r w:rsidR="00E1640B">
            <w:instrText>NUMPAGES  \* Arabic  \* MERGEFORMAT</w:instrText>
          </w:r>
          <w:r w:rsidR="00E1640B">
            <w:fldChar w:fldCharType="separate"/>
          </w:r>
          <w:r w:rsidR="003C1A99">
            <w:rPr>
              <w:noProof/>
            </w:rPr>
            <w:t>3</w:t>
          </w:r>
          <w:r w:rsidR="00E1640B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  <w:p w:rsidR="00372E85" w:rsidRDefault="00372E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370390">
      <w:tc>
        <w:tcPr>
          <w:tcW w:w="2684" w:type="dxa"/>
          <w:tcBorders>
            <w:left w:val="single" w:sz="8" w:space="0" w:color="A5A5A5"/>
            <w:right w:val="single" w:sz="8" w:space="0" w:color="A5A5A5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A5A5A5"/>
            <w:right w:val="single" w:sz="8" w:space="0" w:color="A5A5A5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A5A5A5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:rsidTr="00370390">
      <w:tc>
        <w:tcPr>
          <w:tcW w:w="2684" w:type="dxa"/>
          <w:tcBorders>
            <w:left w:val="single" w:sz="8" w:space="0" w:color="A5A5A5"/>
            <w:right w:val="single" w:sz="8" w:space="0" w:color="A5A5A5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A5A5A5"/>
            <w:right w:val="single" w:sz="8" w:space="0" w:color="A5A5A5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A5A5A5"/>
          </w:tcBorders>
        </w:tcPr>
        <w:p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:rsidTr="00370390">
      <w:tc>
        <w:tcPr>
          <w:tcW w:w="2684" w:type="dxa"/>
          <w:tcBorders>
            <w:left w:val="single" w:sz="8" w:space="0" w:color="A5A5A5"/>
            <w:right w:val="single" w:sz="8" w:space="0" w:color="A5A5A5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A5A5A5"/>
            <w:right w:val="single" w:sz="8" w:space="0" w:color="A5A5A5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A5A5A5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E1640B">
            <w:fldChar w:fldCharType="begin"/>
          </w:r>
          <w:r w:rsidR="00E1640B">
            <w:instrText>NUMPAGES  \* Arabic  \* MERGEFORMAT</w:instrText>
          </w:r>
          <w:r w:rsidR="00E1640B">
            <w:fldChar w:fldCharType="separate"/>
          </w:r>
          <w:r w:rsidR="003C1A99">
            <w:rPr>
              <w:noProof/>
            </w:rPr>
            <w:t>1</w:t>
          </w:r>
          <w:r w:rsidR="00E1640B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  <w:p w:rsidR="00372E85" w:rsidRDefault="00372E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40B" w:rsidRDefault="00E1640B" w:rsidP="00495038">
      <w:pPr>
        <w:spacing w:after="0" w:line="240" w:lineRule="auto"/>
      </w:pPr>
      <w:r>
        <w:separator/>
      </w:r>
    </w:p>
    <w:p w:rsidR="00E1640B" w:rsidRDefault="00E1640B"/>
  </w:footnote>
  <w:footnote w:type="continuationSeparator" w:id="0">
    <w:p w:rsidR="00E1640B" w:rsidRDefault="00E1640B" w:rsidP="00495038">
      <w:pPr>
        <w:spacing w:after="0" w:line="240" w:lineRule="auto"/>
      </w:pPr>
      <w:r>
        <w:continuationSeparator/>
      </w:r>
    </w:p>
    <w:p w:rsidR="00E1640B" w:rsidRDefault="00E1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</w:p>
  <w:p w:rsidR="00372E85" w:rsidRDefault="00372E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924"/>
    <w:multiLevelType w:val="multilevel"/>
    <w:tmpl w:val="0486FB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22359"/>
    <w:multiLevelType w:val="multilevel"/>
    <w:tmpl w:val="6B4CB6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C4111A"/>
    <w:multiLevelType w:val="hybridMultilevel"/>
    <w:tmpl w:val="ABBCC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07031"/>
    <w:multiLevelType w:val="multilevel"/>
    <w:tmpl w:val="F99683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5F2FFC"/>
    <w:multiLevelType w:val="multilevel"/>
    <w:tmpl w:val="48B22D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516C33"/>
    <w:multiLevelType w:val="hybridMultilevel"/>
    <w:tmpl w:val="5A7CCBBA"/>
    <w:lvl w:ilvl="0" w:tplc="FE605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646DA8"/>
    <w:multiLevelType w:val="hybridMultilevel"/>
    <w:tmpl w:val="2B4EA328"/>
    <w:lvl w:ilvl="0" w:tplc="DC8E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400D7"/>
    <w:rsid w:val="000422E3"/>
    <w:rsid w:val="00095C26"/>
    <w:rsid w:val="000A461B"/>
    <w:rsid w:val="000F10FF"/>
    <w:rsid w:val="00117E63"/>
    <w:rsid w:val="00141561"/>
    <w:rsid w:val="00155F18"/>
    <w:rsid w:val="001929C5"/>
    <w:rsid w:val="001B54BB"/>
    <w:rsid w:val="001D7488"/>
    <w:rsid w:val="001E7BD9"/>
    <w:rsid w:val="002105BE"/>
    <w:rsid w:val="00285A64"/>
    <w:rsid w:val="002C10CB"/>
    <w:rsid w:val="002E4EDD"/>
    <w:rsid w:val="00303A37"/>
    <w:rsid w:val="00315A9C"/>
    <w:rsid w:val="00322A4D"/>
    <w:rsid w:val="00370390"/>
    <w:rsid w:val="00372E85"/>
    <w:rsid w:val="003B7287"/>
    <w:rsid w:val="003C1A99"/>
    <w:rsid w:val="003C5F4C"/>
    <w:rsid w:val="00410078"/>
    <w:rsid w:val="00466D27"/>
    <w:rsid w:val="0047159C"/>
    <w:rsid w:val="00495038"/>
    <w:rsid w:val="004A12BB"/>
    <w:rsid w:val="004B5FCD"/>
    <w:rsid w:val="004C603B"/>
    <w:rsid w:val="0057058E"/>
    <w:rsid w:val="00595582"/>
    <w:rsid w:val="005F3A4C"/>
    <w:rsid w:val="0062222F"/>
    <w:rsid w:val="006969C8"/>
    <w:rsid w:val="006E56F4"/>
    <w:rsid w:val="006E70F7"/>
    <w:rsid w:val="00774B53"/>
    <w:rsid w:val="00783328"/>
    <w:rsid w:val="008D78E5"/>
    <w:rsid w:val="009865AF"/>
    <w:rsid w:val="009A2B32"/>
    <w:rsid w:val="009B278F"/>
    <w:rsid w:val="009B348C"/>
    <w:rsid w:val="009D4422"/>
    <w:rsid w:val="00A02EBF"/>
    <w:rsid w:val="00A54C5F"/>
    <w:rsid w:val="00A74040"/>
    <w:rsid w:val="00A96AFF"/>
    <w:rsid w:val="00B24F78"/>
    <w:rsid w:val="00B554B3"/>
    <w:rsid w:val="00B76A52"/>
    <w:rsid w:val="00BF72C5"/>
    <w:rsid w:val="00C45CD4"/>
    <w:rsid w:val="00C613BD"/>
    <w:rsid w:val="00D0686E"/>
    <w:rsid w:val="00D53E61"/>
    <w:rsid w:val="00D963E1"/>
    <w:rsid w:val="00E015E9"/>
    <w:rsid w:val="00E1640B"/>
    <w:rsid w:val="00E554CC"/>
    <w:rsid w:val="00EB6DFD"/>
    <w:rsid w:val="00EE454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9A2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42</TotalTime>
  <Pages>5</Pages>
  <Words>1954</Words>
  <Characters>11533</Characters>
  <Application>Microsoft Office Word</Application>
  <DocSecurity>0</DocSecurity>
  <Lines>96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Pifková Veronika</cp:lastModifiedBy>
  <cp:revision>5</cp:revision>
  <dcterms:created xsi:type="dcterms:W3CDTF">2024-10-07T14:19:00Z</dcterms:created>
  <dcterms:modified xsi:type="dcterms:W3CDTF">2024-10-25T12:46:00Z</dcterms:modified>
</cp:coreProperties>
</file>